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D" w:rsidRDefault="002C293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293D" w:rsidRDefault="002C293D">
      <w:pPr>
        <w:pStyle w:val="ConsPlusNormal"/>
        <w:ind w:firstLine="540"/>
        <w:jc w:val="both"/>
        <w:outlineLvl w:val="0"/>
      </w:pPr>
    </w:p>
    <w:p w:rsidR="002C293D" w:rsidRDefault="002C293D">
      <w:pPr>
        <w:pStyle w:val="ConsPlusTitle"/>
        <w:jc w:val="center"/>
      </w:pPr>
      <w:r>
        <w:t>МИНИСТЕРСТВО ФИНАНСОВ РОССИЙСКОЙ ФЕДЕРАЦИИ</w:t>
      </w:r>
    </w:p>
    <w:p w:rsidR="002C293D" w:rsidRDefault="002C293D">
      <w:pPr>
        <w:pStyle w:val="ConsPlusTitle"/>
        <w:jc w:val="center"/>
      </w:pPr>
    </w:p>
    <w:p w:rsidR="002C293D" w:rsidRDefault="002C293D">
      <w:pPr>
        <w:pStyle w:val="ConsPlusTitle"/>
        <w:jc w:val="center"/>
      </w:pPr>
      <w:r>
        <w:t>ИНФОРМАЦИОННОЕ ПИСЬМО</w:t>
      </w:r>
    </w:p>
    <w:p w:rsidR="002C293D" w:rsidRDefault="002C293D">
      <w:pPr>
        <w:pStyle w:val="ConsPlusTitle"/>
        <w:jc w:val="center"/>
      </w:pPr>
      <w:r>
        <w:t>от 18 февраля 2025 г. N 24-01-10/15030</w:t>
      </w:r>
    </w:p>
    <w:p w:rsidR="002C293D" w:rsidRDefault="002C293D">
      <w:pPr>
        <w:pStyle w:val="ConsPlusTitle"/>
        <w:ind w:firstLine="540"/>
        <w:jc w:val="both"/>
      </w:pPr>
    </w:p>
    <w:p w:rsidR="002C293D" w:rsidRDefault="002C293D">
      <w:pPr>
        <w:pStyle w:val="ConsPlusTitle"/>
        <w:jc w:val="center"/>
      </w:pPr>
      <w:r>
        <w:t>О ПРИМЕНЕНИИ</w:t>
      </w:r>
    </w:p>
    <w:p w:rsidR="002C293D" w:rsidRDefault="002C293D">
      <w:pPr>
        <w:pStyle w:val="ConsPlusTitle"/>
        <w:jc w:val="center"/>
      </w:pPr>
      <w:r>
        <w:t>ПОЛОЖЕНИЙ ЧАСТИ 15 СТАТЬИ 34 ФЕДЕРАЛЬНОГО ЗАКОНА</w:t>
      </w:r>
    </w:p>
    <w:p w:rsidR="002C293D" w:rsidRDefault="002C293D">
      <w:pPr>
        <w:pStyle w:val="ConsPlusTitle"/>
        <w:jc w:val="center"/>
      </w:pPr>
      <w:r>
        <w:t>ОТ 5 АПРЕЛЯ 2013 ГОДА N 44-ФЗ</w:t>
      </w:r>
    </w:p>
    <w:p w:rsidR="002C293D" w:rsidRDefault="002C293D">
      <w:pPr>
        <w:pStyle w:val="ConsPlusNormal"/>
        <w:ind w:firstLine="540"/>
        <w:jc w:val="both"/>
      </w:pPr>
    </w:p>
    <w:p w:rsidR="002C293D" w:rsidRDefault="002C293D">
      <w:pPr>
        <w:pStyle w:val="ConsPlusNormal"/>
        <w:ind w:firstLine="540"/>
        <w:jc w:val="both"/>
      </w:pPr>
      <w:proofErr w:type="gramStart"/>
      <w:r>
        <w:t xml:space="preserve">В связи с поступлением вопросов, касающихся изменений, внесенных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 декабря 2024 г. N 484-ФЗ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статьи 5 и 8 Федерального закона "О внесении изменений в отдельные законодательные акты Российской Федерации" в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5 апреля</w:t>
      </w:r>
      <w:proofErr w:type="gramEnd"/>
      <w:r>
        <w:t xml:space="preserve"> </w:t>
      </w:r>
      <w:proofErr w:type="gramStart"/>
      <w:r>
        <w:t xml:space="preserve">2013 г. N 44-ФЗ "О контрактной системе в сфере закупок товаров, работ, услуг для обеспечения государственных и муниципальных нужд" (далее - Закон N 44-ФЗ), о заключении контракта в письменной форме, Департамент бюджетной политики в сфере контрактной системы Минфина России (далее - Департамент), руководствуясь </w:t>
      </w:r>
      <w:hyperlink r:id="rId8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</w:t>
      </w:r>
      <w:proofErr w:type="gramEnd"/>
      <w:r>
        <w:t xml:space="preserve"> от 29 мая 2017 г. N 389 "Об утверждении Положения о Департаменте бюджетной </w:t>
      </w:r>
      <w:proofErr w:type="gramStart"/>
      <w:r>
        <w:t>политики в сфере контрактной системы Министерства финансов Российской</w:t>
      </w:r>
      <w:proofErr w:type="gramEnd"/>
      <w:r>
        <w:t xml:space="preserve"> Федерации", в дополнение к </w:t>
      </w:r>
      <w:hyperlink r:id="rId9">
        <w:r>
          <w:rPr>
            <w:color w:val="0000FF"/>
          </w:rPr>
          <w:t>письму</w:t>
        </w:r>
      </w:hyperlink>
      <w:r>
        <w:t xml:space="preserve"> от 20 октября 2023 г. N 24-01-07/99890 сообщает следующее.</w:t>
      </w:r>
    </w:p>
    <w:p w:rsidR="002C293D" w:rsidRDefault="002C293D">
      <w:pPr>
        <w:pStyle w:val="ConsPlusNormal"/>
        <w:spacing w:before="220"/>
        <w:ind w:firstLine="540"/>
        <w:jc w:val="both"/>
      </w:pPr>
      <w:r>
        <w:t xml:space="preserve">1. Согласно </w:t>
      </w:r>
      <w:hyperlink r:id="rId10">
        <w:r>
          <w:rPr>
            <w:color w:val="0000FF"/>
          </w:rPr>
          <w:t>пунктам 8</w:t>
        </w:r>
      </w:hyperlink>
      <w:r>
        <w:t xml:space="preserve"> и </w:t>
      </w:r>
      <w:hyperlink r:id="rId11">
        <w:r>
          <w:rPr>
            <w:color w:val="0000FF"/>
          </w:rPr>
          <w:t>8.1 части 1 статьи 3</w:t>
        </w:r>
      </w:hyperlink>
      <w:r>
        <w:t xml:space="preserve"> Закона N 44-ФЗ контракт, в том числе государственный контракт, муниципальный контракт, является договором, заключенным в письменной форме. </w:t>
      </w:r>
      <w:proofErr w:type="gramStart"/>
      <w:r>
        <w:t xml:space="preserve">При этом </w:t>
      </w:r>
      <w:hyperlink r:id="rId12">
        <w:r>
          <w:rPr>
            <w:color w:val="0000FF"/>
          </w:rPr>
          <w:t>частью 15 статьи 34</w:t>
        </w:r>
      </w:hyperlink>
      <w:r>
        <w:t xml:space="preserve"> Закона N 44-ФЗ установлено, что в случаях закупок у единственного поставщика (подрядчика, исполнителя), предусмотренных </w:t>
      </w:r>
      <w:hyperlink r:id="rId13">
        <w:r>
          <w:rPr>
            <w:color w:val="0000FF"/>
          </w:rPr>
          <w:t>пунктом 1</w:t>
        </w:r>
      </w:hyperlink>
      <w:r>
        <w:t xml:space="preserve">, </w:t>
      </w:r>
      <w:hyperlink r:id="rId14">
        <w:r>
          <w:rPr>
            <w:color w:val="0000FF"/>
          </w:rPr>
          <w:t>пунктами 4</w:t>
        </w:r>
      </w:hyperlink>
      <w:r>
        <w:t xml:space="preserve"> и </w:t>
      </w:r>
      <w:hyperlink r:id="rId15">
        <w:r>
          <w:rPr>
            <w:color w:val="0000FF"/>
          </w:rPr>
          <w:t>5</w:t>
        </w:r>
      </w:hyperlink>
      <w:r>
        <w:t xml:space="preserve"> (за исключением контрактов, заключенных в соответствии с </w:t>
      </w:r>
      <w:hyperlink r:id="rId16">
        <w:r>
          <w:rPr>
            <w:color w:val="0000FF"/>
          </w:rPr>
          <w:t>частью 12 статьи 93</w:t>
        </w:r>
      </w:hyperlink>
      <w:r>
        <w:t xml:space="preserve"> Закона N 44-ФЗ), </w:t>
      </w:r>
      <w:hyperlink r:id="rId17">
        <w:r>
          <w:rPr>
            <w:color w:val="0000FF"/>
          </w:rPr>
          <w:t>пунктами 8</w:t>
        </w:r>
      </w:hyperlink>
      <w:r>
        <w:t xml:space="preserve">, </w:t>
      </w:r>
      <w:hyperlink r:id="rId18">
        <w:r>
          <w:rPr>
            <w:color w:val="0000FF"/>
          </w:rPr>
          <w:t>9</w:t>
        </w:r>
      </w:hyperlink>
      <w:r>
        <w:t xml:space="preserve">, </w:t>
      </w:r>
      <w:hyperlink r:id="rId19">
        <w:r>
          <w:rPr>
            <w:color w:val="0000FF"/>
          </w:rPr>
          <w:t>15</w:t>
        </w:r>
      </w:hyperlink>
      <w:r>
        <w:t xml:space="preserve">, </w:t>
      </w:r>
      <w:hyperlink r:id="rId20">
        <w:r>
          <w:rPr>
            <w:color w:val="0000FF"/>
          </w:rPr>
          <w:t>20</w:t>
        </w:r>
      </w:hyperlink>
      <w:r>
        <w:t xml:space="preserve">, </w:t>
      </w:r>
      <w:hyperlink r:id="rId21">
        <w:r>
          <w:rPr>
            <w:color w:val="0000FF"/>
          </w:rPr>
          <w:t>21</w:t>
        </w:r>
      </w:hyperlink>
      <w:r>
        <w:t xml:space="preserve">, </w:t>
      </w:r>
      <w:hyperlink r:id="rId22">
        <w:r>
          <w:rPr>
            <w:color w:val="0000FF"/>
          </w:rPr>
          <w:t>22</w:t>
        </w:r>
      </w:hyperlink>
      <w:r>
        <w:t xml:space="preserve">, </w:t>
      </w:r>
      <w:hyperlink r:id="rId23">
        <w:r>
          <w:rPr>
            <w:color w:val="0000FF"/>
          </w:rPr>
          <w:t>23</w:t>
        </w:r>
      </w:hyperlink>
      <w:r>
        <w:t xml:space="preserve">, </w:t>
      </w:r>
      <w:hyperlink r:id="rId24">
        <w:r>
          <w:rPr>
            <w:color w:val="0000FF"/>
          </w:rPr>
          <w:t>26</w:t>
        </w:r>
      </w:hyperlink>
      <w:r>
        <w:t xml:space="preserve">, </w:t>
      </w:r>
      <w:hyperlink r:id="rId25">
        <w:r>
          <w:rPr>
            <w:color w:val="0000FF"/>
          </w:rPr>
          <w:t>28</w:t>
        </w:r>
      </w:hyperlink>
      <w:r>
        <w:t xml:space="preserve">, </w:t>
      </w:r>
      <w:hyperlink r:id="rId26">
        <w:r>
          <w:rPr>
            <w:color w:val="0000FF"/>
          </w:rPr>
          <w:t>29</w:t>
        </w:r>
      </w:hyperlink>
      <w:r>
        <w:t xml:space="preserve">, </w:t>
      </w:r>
      <w:hyperlink r:id="rId27">
        <w:r>
          <w:rPr>
            <w:color w:val="0000FF"/>
          </w:rPr>
          <w:t>33</w:t>
        </w:r>
      </w:hyperlink>
      <w:r>
        <w:t>,</w:t>
      </w:r>
      <w:proofErr w:type="gramEnd"/>
      <w:r>
        <w:t xml:space="preserve"> </w:t>
      </w:r>
      <w:hyperlink r:id="rId28">
        <w:r>
          <w:rPr>
            <w:color w:val="0000FF"/>
          </w:rPr>
          <w:t>37</w:t>
        </w:r>
      </w:hyperlink>
      <w:r>
        <w:t xml:space="preserve">, </w:t>
      </w:r>
      <w:hyperlink r:id="rId29">
        <w:r>
          <w:rPr>
            <w:color w:val="0000FF"/>
          </w:rPr>
          <w:t>40</w:t>
        </w:r>
      </w:hyperlink>
      <w:r>
        <w:t xml:space="preserve">, </w:t>
      </w:r>
      <w:hyperlink r:id="rId30">
        <w:r>
          <w:rPr>
            <w:color w:val="0000FF"/>
          </w:rPr>
          <w:t>41</w:t>
        </w:r>
      </w:hyperlink>
      <w:r>
        <w:t xml:space="preserve">, </w:t>
      </w:r>
      <w:hyperlink r:id="rId31">
        <w:r>
          <w:rPr>
            <w:color w:val="0000FF"/>
          </w:rPr>
          <w:t>44</w:t>
        </w:r>
      </w:hyperlink>
      <w:r>
        <w:t xml:space="preserve">, </w:t>
      </w:r>
      <w:hyperlink r:id="rId32">
        <w:r>
          <w:rPr>
            <w:color w:val="0000FF"/>
          </w:rPr>
          <w:t>45</w:t>
        </w:r>
      </w:hyperlink>
      <w:r>
        <w:t xml:space="preserve">, </w:t>
      </w:r>
      <w:hyperlink r:id="rId33">
        <w:r>
          <w:rPr>
            <w:color w:val="0000FF"/>
          </w:rPr>
          <w:t>46</w:t>
        </w:r>
      </w:hyperlink>
      <w:r>
        <w:t xml:space="preserve">, </w:t>
      </w:r>
      <w:hyperlink r:id="rId34">
        <w:r>
          <w:rPr>
            <w:color w:val="0000FF"/>
          </w:rPr>
          <w:t>50</w:t>
        </w:r>
      </w:hyperlink>
      <w:r>
        <w:t xml:space="preserve"> - </w:t>
      </w:r>
      <w:hyperlink r:id="rId35">
        <w:r>
          <w:rPr>
            <w:color w:val="0000FF"/>
          </w:rPr>
          <w:t>53</w:t>
        </w:r>
      </w:hyperlink>
      <w:r>
        <w:t xml:space="preserve">, </w:t>
      </w:r>
      <w:hyperlink r:id="rId36">
        <w:r>
          <w:rPr>
            <w:color w:val="0000FF"/>
          </w:rPr>
          <w:t>56</w:t>
        </w:r>
      </w:hyperlink>
      <w:r>
        <w:t xml:space="preserve">, </w:t>
      </w:r>
      <w:hyperlink r:id="rId37">
        <w:r>
          <w:rPr>
            <w:color w:val="0000FF"/>
          </w:rPr>
          <w:t>63 части 1 статьи 93</w:t>
        </w:r>
      </w:hyperlink>
      <w:r>
        <w:t xml:space="preserve"> Закона N 44-ФЗ, контракт может быть заключен в простой письменной форме в соответствии с положениями Гражданского </w:t>
      </w:r>
      <w:hyperlink r:id="rId38">
        <w:r>
          <w:rPr>
            <w:color w:val="0000FF"/>
          </w:rPr>
          <w:t>кодекса</w:t>
        </w:r>
      </w:hyperlink>
      <w:r>
        <w:t xml:space="preserve"> Российской Федерации (далее - ГК РФ) для совершения сделок.</w:t>
      </w:r>
    </w:p>
    <w:p w:rsidR="002C293D" w:rsidRDefault="002C293D">
      <w:pPr>
        <w:pStyle w:val="ConsPlusNormal"/>
        <w:spacing w:before="220"/>
        <w:ind w:firstLine="540"/>
        <w:jc w:val="both"/>
      </w:pPr>
      <w:r>
        <w:t xml:space="preserve">В этой связи контракт, в том числе государственный контракт, муниципальный контракт, не может быть заключен в устной форме, в том числе в предусмотренных </w:t>
      </w:r>
      <w:hyperlink r:id="rId39">
        <w:r>
          <w:rPr>
            <w:color w:val="0000FF"/>
          </w:rPr>
          <w:t>частью 15 статьи 34</w:t>
        </w:r>
      </w:hyperlink>
      <w:r>
        <w:t xml:space="preserve"> Закона N 44-ФЗ случаях закупок у единственного поставщика (подрядчика, исполнителя).</w:t>
      </w:r>
    </w:p>
    <w:p w:rsidR="002C293D" w:rsidRDefault="002C293D">
      <w:pPr>
        <w:pStyle w:val="ConsPlusNormal"/>
        <w:spacing w:before="220"/>
        <w:ind w:firstLine="540"/>
        <w:jc w:val="both"/>
      </w:pPr>
      <w:r>
        <w:t xml:space="preserve">2.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 </w:t>
      </w:r>
      <w:proofErr w:type="gramStart"/>
      <w:r>
        <w:t>Письменная форма сделки считается соблюденной также в 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 (</w:t>
      </w:r>
      <w:hyperlink r:id="rId40">
        <w:r>
          <w:rPr>
            <w:color w:val="0000FF"/>
          </w:rPr>
          <w:t>пункт 1 статьи 160</w:t>
        </w:r>
      </w:hyperlink>
      <w:r>
        <w:t xml:space="preserve"> ГК РФ).</w:t>
      </w:r>
      <w:proofErr w:type="gramEnd"/>
      <w:r>
        <w:t xml:space="preserve">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</w:t>
      </w:r>
      <w:hyperlink r:id="rId41">
        <w:r>
          <w:rPr>
            <w:color w:val="0000FF"/>
          </w:rPr>
          <w:t>абзаца второго пункта 1 статьи 160</w:t>
        </w:r>
      </w:hyperlink>
      <w:r>
        <w:t xml:space="preserve"> ГК РФ (</w:t>
      </w:r>
      <w:hyperlink r:id="rId42">
        <w:r>
          <w:rPr>
            <w:color w:val="0000FF"/>
          </w:rPr>
          <w:t>пункт 2 статьи 434</w:t>
        </w:r>
      </w:hyperlink>
      <w:r>
        <w:t xml:space="preserve"> ГК РФ). Письменная форма договора считается соблюденной, если письменное предложение заключить договор принято в порядке, предусмотренном </w:t>
      </w:r>
      <w:hyperlink r:id="rId43">
        <w:r>
          <w:rPr>
            <w:color w:val="0000FF"/>
          </w:rPr>
          <w:t>пунктом 3 статьи 438</w:t>
        </w:r>
      </w:hyperlink>
      <w:r>
        <w:t xml:space="preserve"> ГК РФ (</w:t>
      </w:r>
      <w:hyperlink r:id="rId44">
        <w:r>
          <w:rPr>
            <w:color w:val="0000FF"/>
          </w:rPr>
          <w:t>пункт 3 статьи 434</w:t>
        </w:r>
      </w:hyperlink>
      <w:r>
        <w:t xml:space="preserve"> ГК РФ). </w:t>
      </w:r>
      <w:proofErr w:type="gramStart"/>
      <w:r>
        <w:t xml:space="preserve">Если иное не предусмотрено законом или договором розничной купли-продажи, в том числе условиями </w:t>
      </w:r>
      <w:r>
        <w:lastRenderedPageBreak/>
        <w:t>формуляров или иных стандартных форм, к которым присоединяется покупатель (</w:t>
      </w:r>
      <w:hyperlink r:id="rId45">
        <w:r>
          <w:rPr>
            <w:color w:val="0000FF"/>
          </w:rPr>
          <w:t>статья 428</w:t>
        </w:r>
      </w:hyperlink>
      <w:r>
        <w:t xml:space="preserve"> ГК РФ), договор розничной купли-продажи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 (</w:t>
      </w:r>
      <w:hyperlink r:id="rId46">
        <w:r>
          <w:rPr>
            <w:color w:val="0000FF"/>
          </w:rPr>
          <w:t>статья 493</w:t>
        </w:r>
      </w:hyperlink>
      <w:r>
        <w:t xml:space="preserve"> ГК РФ).</w:t>
      </w:r>
      <w:proofErr w:type="gramEnd"/>
    </w:p>
    <w:p w:rsidR="002C293D" w:rsidRDefault="002C293D">
      <w:pPr>
        <w:pStyle w:val="ConsPlusNormal"/>
        <w:spacing w:before="220"/>
        <w:ind w:firstLine="540"/>
        <w:jc w:val="both"/>
      </w:pPr>
      <w:proofErr w:type="gramStart"/>
      <w:r>
        <w:t xml:space="preserve">В этой связи в случае, если контракт, указанный в </w:t>
      </w:r>
      <w:hyperlink r:id="rId47">
        <w:r>
          <w:rPr>
            <w:color w:val="0000FF"/>
          </w:rPr>
          <w:t>части 15 статьи 34</w:t>
        </w:r>
      </w:hyperlink>
      <w:r>
        <w:t xml:space="preserve"> Закона N 44-ФЗ, является договором розничной купли-продажи, такой договор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товара, если иное не предусмотрено таким договором, условиями формуляров или иных стандартных форм, к которым присоединяется покупатель.</w:t>
      </w:r>
      <w:proofErr w:type="gramEnd"/>
    </w:p>
    <w:p w:rsidR="002C293D" w:rsidRDefault="002C293D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чеки и документы, являющиеся в соответствии с положениями </w:t>
      </w:r>
      <w:hyperlink r:id="rId48">
        <w:r>
          <w:rPr>
            <w:color w:val="0000FF"/>
          </w:rPr>
          <w:t>статьи 493</w:t>
        </w:r>
      </w:hyperlink>
      <w:r>
        <w:t xml:space="preserve"> ГК РФ формой договора розничной купли-продажи, являются в понимании </w:t>
      </w:r>
      <w:hyperlink r:id="rId49">
        <w:r>
          <w:rPr>
            <w:color w:val="0000FF"/>
          </w:rPr>
          <w:t>части 15 статьи 34</w:t>
        </w:r>
      </w:hyperlink>
      <w:r>
        <w:t xml:space="preserve"> Закона N 44-ФЗ контрактом, заключенным в простой письменной форме.</w:t>
      </w:r>
      <w:proofErr w:type="gramEnd"/>
    </w:p>
    <w:p w:rsidR="002C293D" w:rsidRDefault="002C293D">
      <w:pPr>
        <w:pStyle w:val="ConsPlusNormal"/>
        <w:spacing w:before="220"/>
        <w:ind w:firstLine="540"/>
        <w:jc w:val="both"/>
      </w:pPr>
      <w:proofErr w:type="gramStart"/>
      <w:r>
        <w:t xml:space="preserve">На такие чеки и документы распространяются положения </w:t>
      </w:r>
      <w:hyperlink r:id="rId50">
        <w:r>
          <w:rPr>
            <w:color w:val="0000FF"/>
          </w:rPr>
          <w:t>Закона</w:t>
        </w:r>
      </w:hyperlink>
      <w:r>
        <w:t xml:space="preserve"> N 44-ФЗ и </w:t>
      </w:r>
      <w:hyperlink r:id="rId51">
        <w:r>
          <w:rPr>
            <w:color w:val="0000FF"/>
          </w:rPr>
          <w:t>Правил</w:t>
        </w:r>
      </w:hyperlink>
      <w:r>
        <w:t xml:space="preserve"> ведения реестра контрактов, заключенных заказчиками, утвержденных постановлением Правительства Российской Федерации от 27 января 2022 г. N 60, касающиеся контракта, включения информации о таком контракте в реестр контрактов, заключенных заказчиками.</w:t>
      </w:r>
      <w:proofErr w:type="gramEnd"/>
    </w:p>
    <w:p w:rsidR="002C293D" w:rsidRDefault="002C293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2">
        <w:r>
          <w:rPr>
            <w:color w:val="0000FF"/>
          </w:rPr>
          <w:t>частью 1 статьи 23</w:t>
        </w:r>
      </w:hyperlink>
      <w:r>
        <w:t xml:space="preserve"> Закона N 44-ФЗ чеки и документы должны также содержать идентификационный код закупки. Учитывая, что обязательные реквизиты кассового чека, определенные </w:t>
      </w:r>
      <w:hyperlink r:id="rId53">
        <w:r>
          <w:rPr>
            <w:color w:val="0000FF"/>
          </w:rPr>
          <w:t>статьей 47</w:t>
        </w:r>
      </w:hyperlink>
      <w:r>
        <w:t xml:space="preserve"> Федерального закона от 22 мая 2003 г. N 54-ФЗ "О применении контрольно-кассовой техники при осуществлении расчетов в Российской Федерации", идентификационного кода закупки не содержат, заказчик указывает соответствующий код на таком кассовом чеке самостоятельно.</w:t>
      </w:r>
    </w:p>
    <w:p w:rsidR="002C293D" w:rsidRDefault="002C293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Из положений </w:t>
      </w:r>
      <w:hyperlink r:id="rId54">
        <w:r>
          <w:rPr>
            <w:color w:val="0000FF"/>
          </w:rPr>
          <w:t>пункта 6.3</w:t>
        </w:r>
      </w:hyperlink>
      <w:r>
        <w:t xml:space="preserve"> Указания Банка России от 11 марта 2014 г.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следует, что работнику заказчика под отчет (далее - подотчетное лицо) могут быть выданы наличные деньги на расходы, связанные с осуществлением деятельности заказчика.</w:t>
      </w:r>
      <w:proofErr w:type="gramEnd"/>
    </w:p>
    <w:p w:rsidR="002C293D" w:rsidRDefault="002C293D">
      <w:pPr>
        <w:pStyle w:val="ConsPlusNormal"/>
        <w:spacing w:before="220"/>
        <w:ind w:firstLine="540"/>
        <w:jc w:val="both"/>
      </w:pPr>
      <w:r>
        <w:t>В случае выдачи наличных денежных средств под отчет к авансовому отчету, составляемому подотчетным лицом, прилагаются подтверждающие документы, при этом:</w:t>
      </w:r>
    </w:p>
    <w:p w:rsidR="002C293D" w:rsidRDefault="002C293D">
      <w:pPr>
        <w:pStyle w:val="ConsPlusNormal"/>
        <w:spacing w:before="220"/>
        <w:ind w:firstLine="540"/>
        <w:jc w:val="both"/>
      </w:pPr>
      <w:proofErr w:type="gramStart"/>
      <w:r>
        <w:t xml:space="preserve">согласно положениям </w:t>
      </w:r>
      <w:hyperlink r:id="rId55">
        <w:r>
          <w:rPr>
            <w:color w:val="0000FF"/>
          </w:rPr>
          <w:t>приказа</w:t>
        </w:r>
      </w:hyperlink>
      <w:r>
        <w:t xml:space="preserve">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подотчетное лицо заполняет в авансовом </w:t>
      </w:r>
      <w:hyperlink r:id="rId56">
        <w:r>
          <w:rPr>
            <w:color w:val="0000FF"/>
          </w:rPr>
          <w:t>отчете</w:t>
        </w:r>
      </w:hyperlink>
      <w:r>
        <w:t xml:space="preserve"> (ф. 0504505) фактически израсходованные им суммы с указанием документов</w:t>
      </w:r>
      <w:proofErr w:type="gramEnd"/>
      <w:r>
        <w:t>, подтверждающих произведенные расходы, и прилагает их к авансовому отчету;</w:t>
      </w:r>
    </w:p>
    <w:p w:rsidR="002C293D" w:rsidRDefault="002C293D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57">
        <w:r>
          <w:rPr>
            <w:color w:val="0000FF"/>
          </w:rPr>
          <w:t>постановлению</w:t>
        </w:r>
      </w:hyperlink>
      <w:r>
        <w:t xml:space="preserve"> Государственного комитета Российской Федерации по статистике от 1 августа 2001 г. N 55 "Об утверждении унифицированной формы первичной учетной документации N АО-1 "Авансовый отчет" к авансовому отчету прилагаются документы, подтверждающие расходы (командировочное удостоверение, квитанции, транспортные документы, чеки ККМ, товарные чеки и другие оправдательные документы).</w:t>
      </w:r>
      <w:proofErr w:type="gramEnd"/>
    </w:p>
    <w:p w:rsidR="002C293D" w:rsidRDefault="002C293D">
      <w:pPr>
        <w:pStyle w:val="ConsPlusNormal"/>
        <w:spacing w:before="220"/>
        <w:ind w:firstLine="540"/>
        <w:jc w:val="both"/>
      </w:pPr>
      <w:r>
        <w:t xml:space="preserve">В этой связи приложенный к авансовому отчету документ, подтверждающий произведенные подотчетным лицом расходы на закупку товаров, работ, услуг, связанные с осуществлением деятельности заказчика, является в понимании </w:t>
      </w:r>
      <w:hyperlink r:id="rId58">
        <w:r>
          <w:rPr>
            <w:color w:val="0000FF"/>
          </w:rPr>
          <w:t>части 15 статьи 34</w:t>
        </w:r>
      </w:hyperlink>
      <w:r>
        <w:t xml:space="preserve"> Закона N 44-ФЗ контрактом, </w:t>
      </w:r>
      <w:r>
        <w:lastRenderedPageBreak/>
        <w:t>заключенным в простой письменной форме.</w:t>
      </w:r>
    </w:p>
    <w:p w:rsidR="002C293D" w:rsidRDefault="002C293D">
      <w:pPr>
        <w:pStyle w:val="ConsPlusNormal"/>
        <w:spacing w:before="220"/>
        <w:ind w:firstLine="540"/>
        <w:jc w:val="both"/>
      </w:pPr>
      <w:r>
        <w:t>Настоящее письмо не является нормативным правовым актом.</w:t>
      </w:r>
    </w:p>
    <w:p w:rsidR="002C293D" w:rsidRDefault="002C293D">
      <w:pPr>
        <w:pStyle w:val="ConsPlusNormal"/>
        <w:ind w:firstLine="540"/>
        <w:jc w:val="both"/>
      </w:pPr>
    </w:p>
    <w:p w:rsidR="002C293D" w:rsidRDefault="002C293D">
      <w:pPr>
        <w:pStyle w:val="ConsPlusNormal"/>
        <w:jc w:val="right"/>
      </w:pPr>
      <w:r>
        <w:t>Директор Департамента</w:t>
      </w:r>
    </w:p>
    <w:p w:rsidR="002C293D" w:rsidRDefault="002C293D">
      <w:pPr>
        <w:pStyle w:val="ConsPlusNormal"/>
        <w:jc w:val="right"/>
      </w:pPr>
      <w:r>
        <w:t>Т.П.ДЕМИДОВА</w:t>
      </w:r>
    </w:p>
    <w:p w:rsidR="002C293D" w:rsidRDefault="002C293D">
      <w:pPr>
        <w:pStyle w:val="ConsPlusNormal"/>
        <w:ind w:firstLine="540"/>
        <w:jc w:val="both"/>
      </w:pPr>
    </w:p>
    <w:p w:rsidR="002C293D" w:rsidRDefault="002C293D">
      <w:pPr>
        <w:pStyle w:val="ConsPlusNormal"/>
        <w:ind w:firstLine="540"/>
        <w:jc w:val="both"/>
      </w:pPr>
    </w:p>
    <w:p w:rsidR="002C293D" w:rsidRDefault="002C29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72B" w:rsidRDefault="0090272B">
      <w:bookmarkStart w:id="0" w:name="_GoBack"/>
      <w:bookmarkEnd w:id="0"/>
    </w:p>
    <w:sectPr w:rsidR="0090272B" w:rsidSect="00A7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3D"/>
    <w:rsid w:val="002C293D"/>
    <w:rsid w:val="0090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9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9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9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9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9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9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361&amp;dst=101956" TargetMode="External"/><Relationship Id="rId18" Type="http://schemas.openxmlformats.org/officeDocument/2006/relationships/hyperlink" Target="https://login.consultant.ru/link/?req=doc&amp;base=LAW&amp;n=483361&amp;dst=2918" TargetMode="External"/><Relationship Id="rId26" Type="http://schemas.openxmlformats.org/officeDocument/2006/relationships/hyperlink" Target="https://login.consultant.ru/link/?req=doc&amp;base=LAW&amp;n=483361&amp;dst=101784" TargetMode="External"/><Relationship Id="rId39" Type="http://schemas.openxmlformats.org/officeDocument/2006/relationships/hyperlink" Target="https://login.consultant.ru/link/?req=doc&amp;base=LAW&amp;n=483361&amp;dst=12434" TargetMode="External"/><Relationship Id="rId21" Type="http://schemas.openxmlformats.org/officeDocument/2006/relationships/hyperlink" Target="https://login.consultant.ru/link/?req=doc&amp;base=LAW&amp;n=483361&amp;dst=101961" TargetMode="External"/><Relationship Id="rId34" Type="http://schemas.openxmlformats.org/officeDocument/2006/relationships/hyperlink" Target="https://login.consultant.ru/link/?req=doc&amp;base=LAW&amp;n=483361&amp;dst=304" TargetMode="External"/><Relationship Id="rId42" Type="http://schemas.openxmlformats.org/officeDocument/2006/relationships/hyperlink" Target="https://login.consultant.ru/link/?req=doc&amp;base=LAW&amp;n=482692&amp;dst=11061" TargetMode="External"/><Relationship Id="rId47" Type="http://schemas.openxmlformats.org/officeDocument/2006/relationships/hyperlink" Target="https://login.consultant.ru/link/?req=doc&amp;base=LAW&amp;n=483361&amp;dst=12434" TargetMode="External"/><Relationship Id="rId50" Type="http://schemas.openxmlformats.org/officeDocument/2006/relationships/hyperlink" Target="https://login.consultant.ru/link/?req=doc&amp;base=LAW&amp;n=483361" TargetMode="External"/><Relationship Id="rId55" Type="http://schemas.openxmlformats.org/officeDocument/2006/relationships/hyperlink" Target="https://login.consultant.ru/link/?req=doc&amp;base=LAW&amp;n=362627" TargetMode="External"/><Relationship Id="rId7" Type="http://schemas.openxmlformats.org/officeDocument/2006/relationships/hyperlink" Target="https://login.consultant.ru/link/?req=doc&amp;base=LAW&amp;n=483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12286" TargetMode="External"/><Relationship Id="rId29" Type="http://schemas.openxmlformats.org/officeDocument/2006/relationships/hyperlink" Target="https://login.consultant.ru/link/?req=doc&amp;base=LAW&amp;n=483361&amp;dst=5" TargetMode="External"/><Relationship Id="rId11" Type="http://schemas.openxmlformats.org/officeDocument/2006/relationships/hyperlink" Target="https://login.consultant.ru/link/?req=doc&amp;base=LAW&amp;n=483361&amp;dst=12432" TargetMode="External"/><Relationship Id="rId24" Type="http://schemas.openxmlformats.org/officeDocument/2006/relationships/hyperlink" Target="https://login.consultant.ru/link/?req=doc&amp;base=LAW&amp;n=483361&amp;dst=2922" TargetMode="External"/><Relationship Id="rId32" Type="http://schemas.openxmlformats.org/officeDocument/2006/relationships/hyperlink" Target="https://login.consultant.ru/link/?req=doc&amp;base=LAW&amp;n=483361&amp;dst=119" TargetMode="External"/><Relationship Id="rId37" Type="http://schemas.openxmlformats.org/officeDocument/2006/relationships/hyperlink" Target="https://login.consultant.ru/link/?req=doc&amp;base=LAW&amp;n=483361&amp;dst=12264" TargetMode="External"/><Relationship Id="rId40" Type="http://schemas.openxmlformats.org/officeDocument/2006/relationships/hyperlink" Target="https://login.consultant.ru/link/?req=doc&amp;base=LAW&amp;n=482692&amp;dst=11054" TargetMode="External"/><Relationship Id="rId45" Type="http://schemas.openxmlformats.org/officeDocument/2006/relationships/hyperlink" Target="https://login.consultant.ru/link/?req=doc&amp;base=LAW&amp;n=482692&amp;dst=102027" TargetMode="External"/><Relationship Id="rId53" Type="http://schemas.openxmlformats.org/officeDocument/2006/relationships/hyperlink" Target="https://login.consultant.ru/link/?req=doc&amp;base=LAW&amp;n=482724&amp;dst=447" TargetMode="External"/><Relationship Id="rId58" Type="http://schemas.openxmlformats.org/officeDocument/2006/relationships/hyperlink" Target="https://login.consultant.ru/link/?req=doc&amp;base=LAW&amp;n=483361&amp;dst=12434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83361&amp;dst=101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203" TargetMode="External"/><Relationship Id="rId14" Type="http://schemas.openxmlformats.org/officeDocument/2006/relationships/hyperlink" Target="https://login.consultant.ru/link/?req=doc&amp;base=LAW&amp;n=483361&amp;dst=12218" TargetMode="External"/><Relationship Id="rId22" Type="http://schemas.openxmlformats.org/officeDocument/2006/relationships/hyperlink" Target="https://login.consultant.ru/link/?req=doc&amp;base=LAW&amp;n=483361&amp;dst=101279" TargetMode="External"/><Relationship Id="rId27" Type="http://schemas.openxmlformats.org/officeDocument/2006/relationships/hyperlink" Target="https://login.consultant.ru/link/?req=doc&amp;base=LAW&amp;n=483361&amp;dst=101788" TargetMode="External"/><Relationship Id="rId30" Type="http://schemas.openxmlformats.org/officeDocument/2006/relationships/hyperlink" Target="https://login.consultant.ru/link/?req=doc&amp;base=LAW&amp;n=483361&amp;dst=6" TargetMode="External"/><Relationship Id="rId35" Type="http://schemas.openxmlformats.org/officeDocument/2006/relationships/hyperlink" Target="https://login.consultant.ru/link/?req=doc&amp;base=LAW&amp;n=483361&amp;dst=323" TargetMode="External"/><Relationship Id="rId43" Type="http://schemas.openxmlformats.org/officeDocument/2006/relationships/hyperlink" Target="https://login.consultant.ru/link/?req=doc&amp;base=LAW&amp;n=482692&amp;dst=102075" TargetMode="External"/><Relationship Id="rId48" Type="http://schemas.openxmlformats.org/officeDocument/2006/relationships/hyperlink" Target="https://login.consultant.ru/link/?req=doc&amp;base=LAW&amp;n=493202&amp;dst=100192" TargetMode="External"/><Relationship Id="rId56" Type="http://schemas.openxmlformats.org/officeDocument/2006/relationships/hyperlink" Target="https://login.consultant.ru/link/?req=doc&amp;base=LAW&amp;n=362627&amp;dst=102021" TargetMode="External"/><Relationship Id="rId8" Type="http://schemas.openxmlformats.org/officeDocument/2006/relationships/hyperlink" Target="https://login.consultant.ru/link/?req=doc&amp;base=EXP&amp;n=690042&amp;dst=100029" TargetMode="External"/><Relationship Id="rId51" Type="http://schemas.openxmlformats.org/officeDocument/2006/relationships/hyperlink" Target="https://login.consultant.ru/link/?req=doc&amp;base=LAW&amp;n=499084&amp;dst=1006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3361&amp;dst=12434" TargetMode="External"/><Relationship Id="rId17" Type="http://schemas.openxmlformats.org/officeDocument/2006/relationships/hyperlink" Target="https://login.consultant.ru/link/?req=doc&amp;base=LAW&amp;n=483361&amp;dst=12185" TargetMode="External"/><Relationship Id="rId25" Type="http://schemas.openxmlformats.org/officeDocument/2006/relationships/hyperlink" Target="https://login.consultant.ru/link/?req=doc&amp;base=LAW&amp;n=483361&amp;dst=12006" TargetMode="External"/><Relationship Id="rId33" Type="http://schemas.openxmlformats.org/officeDocument/2006/relationships/hyperlink" Target="https://login.consultant.ru/link/?req=doc&amp;base=LAW&amp;n=483361&amp;dst=128" TargetMode="External"/><Relationship Id="rId38" Type="http://schemas.openxmlformats.org/officeDocument/2006/relationships/hyperlink" Target="https://login.consultant.ru/link/?req=doc&amp;base=LAW&amp;n=482692" TargetMode="External"/><Relationship Id="rId46" Type="http://schemas.openxmlformats.org/officeDocument/2006/relationships/hyperlink" Target="https://login.consultant.ru/link/?req=doc&amp;base=LAW&amp;n=493202&amp;dst=10019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3361&amp;dst=101960" TargetMode="External"/><Relationship Id="rId41" Type="http://schemas.openxmlformats.org/officeDocument/2006/relationships/hyperlink" Target="https://login.consultant.ru/link/?req=doc&amp;base=LAW&amp;n=482692&amp;dst=11055" TargetMode="External"/><Relationship Id="rId54" Type="http://schemas.openxmlformats.org/officeDocument/2006/relationships/hyperlink" Target="https://login.consultant.ru/link/?req=doc&amp;base=LAW&amp;n=473304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366" TargetMode="External"/><Relationship Id="rId15" Type="http://schemas.openxmlformats.org/officeDocument/2006/relationships/hyperlink" Target="https://login.consultant.ru/link/?req=doc&amp;base=LAW&amp;n=483361&amp;dst=12219" TargetMode="External"/><Relationship Id="rId23" Type="http://schemas.openxmlformats.org/officeDocument/2006/relationships/hyperlink" Target="https://login.consultant.ru/link/?req=doc&amp;base=LAW&amp;n=483361&amp;dst=2919" TargetMode="External"/><Relationship Id="rId28" Type="http://schemas.openxmlformats.org/officeDocument/2006/relationships/hyperlink" Target="https://login.consultant.ru/link/?req=doc&amp;base=LAW&amp;n=483361&amp;dst=101968" TargetMode="External"/><Relationship Id="rId36" Type="http://schemas.openxmlformats.org/officeDocument/2006/relationships/hyperlink" Target="https://login.consultant.ru/link/?req=doc&amp;base=LAW&amp;n=483361&amp;dst=12174" TargetMode="External"/><Relationship Id="rId49" Type="http://schemas.openxmlformats.org/officeDocument/2006/relationships/hyperlink" Target="https://login.consultant.ru/link/?req=doc&amp;base=LAW&amp;n=483361&amp;dst=12434" TargetMode="External"/><Relationship Id="rId57" Type="http://schemas.openxmlformats.org/officeDocument/2006/relationships/hyperlink" Target="https://login.consultant.ru/link/?req=doc&amp;base=LAW&amp;n=33265" TargetMode="External"/><Relationship Id="rId10" Type="http://schemas.openxmlformats.org/officeDocument/2006/relationships/hyperlink" Target="https://login.consultant.ru/link/?req=doc&amp;base=LAW&amp;n=483361&amp;dst=12431" TargetMode="External"/><Relationship Id="rId31" Type="http://schemas.openxmlformats.org/officeDocument/2006/relationships/hyperlink" Target="https://login.consultant.ru/link/?req=doc&amp;base=LAW&amp;n=483361&amp;dst=118" TargetMode="External"/><Relationship Id="rId44" Type="http://schemas.openxmlformats.org/officeDocument/2006/relationships/hyperlink" Target="https://login.consultant.ru/link/?req=doc&amp;base=LAW&amp;n=482692&amp;dst=102060" TargetMode="External"/><Relationship Id="rId52" Type="http://schemas.openxmlformats.org/officeDocument/2006/relationships/hyperlink" Target="https://login.consultant.ru/link/?req=doc&amp;base=LAW&amp;n=483361&amp;dst=117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2025-06-03T08:49:00Z</dcterms:created>
  <dcterms:modified xsi:type="dcterms:W3CDTF">2025-06-03T08:49:00Z</dcterms:modified>
</cp:coreProperties>
</file>